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F" w:rsidRDefault="0051441F" w:rsidP="00AE53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51441F" w:rsidRPr="00583930" w:rsidTr="00F74544">
        <w:tc>
          <w:tcPr>
            <w:tcW w:w="5097" w:type="dxa"/>
          </w:tcPr>
          <w:p w:rsidR="0051441F" w:rsidRDefault="0051441F" w:rsidP="00AE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83930" w:rsidRPr="00583930" w:rsidRDefault="00142394" w:rsidP="005839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6 к Регламенту</w:t>
            </w:r>
          </w:p>
          <w:p w:rsidR="0051441F" w:rsidRPr="00583930" w:rsidRDefault="0051441F" w:rsidP="005839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41F" w:rsidTr="00F74544">
        <w:tc>
          <w:tcPr>
            <w:tcW w:w="5097" w:type="dxa"/>
          </w:tcPr>
          <w:p w:rsidR="0051441F" w:rsidRDefault="0051441F" w:rsidP="00AE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441F" w:rsidRDefault="0051441F" w:rsidP="0058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53" w:rsidRPr="00832353" w:rsidRDefault="00832353" w:rsidP="004A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5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441F" w:rsidRPr="00832353" w:rsidRDefault="00832353" w:rsidP="00647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53">
        <w:rPr>
          <w:rFonts w:ascii="Times New Roman" w:hAnsi="Times New Roman" w:cs="Times New Roman"/>
          <w:b/>
          <w:sz w:val="28"/>
          <w:szCs w:val="28"/>
        </w:rPr>
        <w:t>о подключении</w:t>
      </w:r>
      <w:r w:rsidR="004A4656" w:rsidRPr="00832353">
        <w:rPr>
          <w:rFonts w:ascii="Times New Roman" w:hAnsi="Times New Roman" w:cs="Times New Roman"/>
          <w:b/>
          <w:sz w:val="28"/>
          <w:szCs w:val="28"/>
        </w:rPr>
        <w:t xml:space="preserve"> (технологическое присоединение) к сетям инж</w:t>
      </w:r>
      <w:r>
        <w:rPr>
          <w:rFonts w:ascii="Times New Roman" w:hAnsi="Times New Roman" w:cs="Times New Roman"/>
          <w:b/>
          <w:sz w:val="28"/>
          <w:szCs w:val="28"/>
        </w:rPr>
        <w:t xml:space="preserve">енерно-технического обеспечения </w:t>
      </w:r>
      <w:r w:rsidR="00647E68" w:rsidRPr="00832353">
        <w:rPr>
          <w:rFonts w:ascii="Times New Roman" w:hAnsi="Times New Roman" w:cs="Times New Roman"/>
          <w:b/>
          <w:sz w:val="28"/>
          <w:szCs w:val="28"/>
        </w:rPr>
        <w:t xml:space="preserve">МУП ЖКХ «Тепловые сети» МО </w:t>
      </w:r>
      <w:proofErr w:type="spellStart"/>
      <w:r w:rsidR="00647E68" w:rsidRPr="00832353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647E68" w:rsidRPr="008323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jc w:val="center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8"/>
          <w:szCs w:val="28"/>
          <w:lang w:eastAsia="ru-RU"/>
        </w:rPr>
        <w:t>Подключение объекта к системе коммунального водоснабжения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3"/>
          <w:szCs w:val="23"/>
          <w:lang w:eastAsia="ru-RU"/>
        </w:rPr>
        <w:t>Правила получения технических условий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Получение технических условий подключения и (или) информации о плате за подключение объекта капитального строительства к системе коммунальной инфраструктуры централизованного водоснабжения.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Технические условия подключения и (или) информация о плате за подключение объекта предоставляются по запросам:</w:t>
      </w:r>
    </w:p>
    <w:p w:rsidR="003135AF" w:rsidRPr="00BB3C0E" w:rsidRDefault="003135AF" w:rsidP="00ED435B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федеральных органов исполнительной власти;</w:t>
      </w:r>
    </w:p>
    <w:p w:rsidR="003135AF" w:rsidRPr="00BB3C0E" w:rsidRDefault="003135AF" w:rsidP="00ED435B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органов исполнительной власти субъектов Российской Федерации;</w:t>
      </w:r>
    </w:p>
    <w:p w:rsidR="003135AF" w:rsidRPr="00BB3C0E" w:rsidRDefault="003135AF" w:rsidP="00ED435B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органов местного самоуправления;</w:t>
      </w:r>
    </w:p>
    <w:p w:rsidR="003135AF" w:rsidRPr="00BB3C0E" w:rsidRDefault="003135AF" w:rsidP="00ED435B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правообладателей земельных участков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в соответствии с Градостроительным кодексом РФ и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 №83).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Запрос о предоставлении технических условий (Приложение № 1)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наименование лица, направившего запрос, его местонахождение и почтовый адрес;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информацию о разрешенном использовании земельного участка;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3135AF" w:rsidRPr="00BB3C0E" w:rsidRDefault="003135AF" w:rsidP="00ED435B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lastRenderedPageBreak/>
        <w:t xml:space="preserve">Технические условия или информация о плате за подключение объекта капитального строительства предоставляются в течение 14-ти рабочих дней </w:t>
      </w:r>
      <w:proofErr w:type="gramStart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с даты получения</w:t>
      </w:r>
      <w:proofErr w:type="gramEnd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запроса без взимания платы.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Технические условия содержат следующие данные:</w:t>
      </w:r>
    </w:p>
    <w:p w:rsidR="003135AF" w:rsidRPr="00BB3C0E" w:rsidRDefault="003135AF" w:rsidP="00ED435B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Максимальная нагрузка в возможных точках подключения;</w:t>
      </w:r>
    </w:p>
    <w:p w:rsidR="003135AF" w:rsidRPr="00BB3C0E" w:rsidRDefault="003135AF" w:rsidP="00ED435B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Срок подключения объекта капитального строительства к сетям водопровода и канализации, </w:t>
      </w:r>
      <w:proofErr w:type="gramStart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определяемый</w:t>
      </w:r>
      <w:proofErr w:type="gramEnd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в том числе в зависимости от сроков реализации инвестиционных программ;</w:t>
      </w:r>
    </w:p>
    <w:p w:rsidR="003135AF" w:rsidRPr="00BB3C0E" w:rsidRDefault="003135AF" w:rsidP="00ED435B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Срок действия технических условий (не менее 3 лет с даты их выдачи или при комплексном освоении земельного участка в целях жилищного строительства не менее 5 лет). По истечении этого срока параметры выданных технических условий могут быть изменены.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об этом МУП </w:t>
      </w:r>
      <w:r w:rsidR="00F0670D"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ЖКХ «Тепловые сети» МО </w:t>
      </w:r>
      <w:proofErr w:type="spellStart"/>
      <w:r w:rsidR="00F0670D" w:rsidRPr="00BB3C0E">
        <w:rPr>
          <w:rFonts w:ascii="ptserif" w:eastAsia="Times New Roman" w:hAnsi="ptserif" w:cs="Times New Roman"/>
          <w:sz w:val="23"/>
          <w:szCs w:val="23"/>
          <w:lang w:eastAsia="ru-RU"/>
        </w:rPr>
        <w:t>Байкаловского</w:t>
      </w:r>
      <w:proofErr w:type="spellEnd"/>
      <w:r w:rsidR="00F0670D"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сельского поселения.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proofErr w:type="gramStart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В течение 1 года с даты получения технических условий заказчик должен определить необходимую подключаемую нагрузку и обратиться с заявлением о подключении объекта капитального строительства к централизованным системам водоснабжения (основание – 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 №83), или при комплексном освоении земельного участка в целях</w:t>
      </w:r>
      <w:proofErr w:type="gramEnd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жилищного строительства в течение трех лет с момента предоставления правообладателю земельного участка указанных технических условий (основание – п.7 Градостроительного кодекса РФ).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Подключение объекта капитального строительства (реконструкции) осуществляется на основании договора.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Информация о плате за подключение объекта капитального строительства содержит следующие данные:</w:t>
      </w:r>
    </w:p>
    <w:p w:rsidR="003135AF" w:rsidRPr="00BB3C0E" w:rsidRDefault="003135AF" w:rsidP="00ED435B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данные о тарифе на подключение, утвержденном на момент выдачи технических условий в установленном законодательством РФ порядке;</w:t>
      </w:r>
    </w:p>
    <w:p w:rsidR="003135AF" w:rsidRPr="00BB3C0E" w:rsidRDefault="003135AF" w:rsidP="00ED435B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дату окончания срока действия указанного тарифа (если период действия этого истекает ранее окончания срока действия технических условий);</w:t>
      </w:r>
    </w:p>
    <w:p w:rsidR="003135AF" w:rsidRPr="00BB3C0E" w:rsidRDefault="003135AF" w:rsidP="00ED435B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3"/>
          <w:szCs w:val="23"/>
          <w:lang w:eastAsia="ru-RU"/>
        </w:rPr>
        <w:t>Порядок проведения процедуры подключения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proofErr w:type="gramStart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Подключение объекта капитального строительства к централизованным системам водоснабжения осуществляется в соответствии с Постановлением Правительства РФ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РФ от 29 июля 2013 года № 645 «Об утверждении типовых договоров в области холодного водоснабжения и водоотведения».</w:t>
      </w:r>
      <w:proofErr w:type="gramEnd"/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3"/>
          <w:szCs w:val="23"/>
          <w:lang w:eastAsia="ru-RU"/>
        </w:rPr>
        <w:t>Этапы подключения: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1. Подача заказчиком заявления о подключении с указанием требуемого объема подключаемой нагрузки;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2. Заключение договора о подключении с учетом технических условий, ранее полученных заказчиком от МУП </w:t>
      </w:r>
      <w:r w:rsidR="006E7A17"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ЖКХ «Тепловые сети» МО </w:t>
      </w:r>
      <w:proofErr w:type="spellStart"/>
      <w:r w:rsidR="006E7A17" w:rsidRPr="00BB3C0E">
        <w:rPr>
          <w:rFonts w:ascii="ptserif" w:eastAsia="Times New Roman" w:hAnsi="ptserif" w:cs="Times New Roman"/>
          <w:sz w:val="23"/>
          <w:szCs w:val="23"/>
          <w:lang w:eastAsia="ru-RU"/>
        </w:rPr>
        <w:t>Байкаловского</w:t>
      </w:r>
      <w:proofErr w:type="spellEnd"/>
      <w:r w:rsidR="006E7A17"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сельского поселения</w:t>
      </w: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3. 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водоснабжения, и проверка сторонами выполнения этих мероприятий;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4. 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5. Выполнение условий подачи ресурса.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Этап 1. </w:t>
      </w:r>
      <w:hyperlink r:id="rId5" w:history="1">
        <w:r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Подача заказчиком заявления о подключении.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Этап 2. </w:t>
      </w:r>
      <w:hyperlink r:id="rId6" w:history="1">
        <w:r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Заключение договора о подключении.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Этап 3.</w:t>
      </w:r>
      <w:hyperlink r:id="rId7" w:history="1">
        <w:r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 Исполнение сторонами условий договора о подключении.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Этап 4.</w:t>
      </w:r>
      <w:hyperlink r:id="rId8" w:history="1">
        <w:r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 Присоединение заказчиком объекта к системе водоснабжения и (или) водоотведения, подписание сторонами акта о присоединении.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Этап 5.</w:t>
      </w:r>
      <w:hyperlink r:id="rId9" w:history="1">
        <w:r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 Выполнение условий подачи ресурсов.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  <w:hyperlink r:id="rId10" w:history="1">
        <w:r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Подключение объекта к сетям.</w:t>
        </w:r>
      </w:hyperlink>
    </w:p>
    <w:p w:rsidR="003135AF" w:rsidRPr="00BB3C0E" w:rsidRDefault="009D283D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1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Бланк заявления для договора.</w:t>
        </w:r>
      </w:hyperlink>
    </w:p>
    <w:p w:rsidR="003135AF" w:rsidRPr="00BB3C0E" w:rsidRDefault="009D283D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2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Бланк заявления для договора для реконструируемых объектов.</w:t>
        </w:r>
      </w:hyperlink>
    </w:p>
    <w:p w:rsidR="003135AF" w:rsidRPr="00BB3C0E" w:rsidRDefault="009D283D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3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Бланк заявления 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для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ТУ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подключения.</w:t>
        </w:r>
      </w:hyperlink>
    </w:p>
    <w:p w:rsidR="003135AF" w:rsidRPr="00BB3C0E" w:rsidRDefault="009D283D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4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Доверенность для физических лиц.</w:t>
        </w:r>
      </w:hyperlink>
    </w:p>
    <w:p w:rsidR="003135AF" w:rsidRPr="00BB3C0E" w:rsidRDefault="009D283D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5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Доверенность для юридических лиц.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jc w:val="center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4"/>
          <w:szCs w:val="24"/>
          <w:lang w:eastAsia="ru-RU"/>
        </w:rPr>
        <w:t> Законодательство в области технологического присоединения к централизованным системам водоснабжения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6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Федеральный закон от 27.07.2010 N 190-ФЗ О теплоснабжении.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7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Федеральный закон от 07 декабря 2011 года № 416-ФЗ «О водоснабжении и водоотведении».</w:t>
        </w:r>
      </w:hyperlink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 xml:space="preserve">Приказ </w:t>
      </w:r>
      <w:proofErr w:type="spellStart"/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Фед</w:t>
      </w:r>
      <w:proofErr w:type="spellEnd"/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.</w:t>
      </w:r>
      <w:r w:rsidR="006E7A17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 xml:space="preserve"> </w:t>
      </w:r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службы по тарифам от 27 декабря 2013 года № 1746-э «Об утверждении Методических указаний п</w:t>
      </w:r>
      <w:r w:rsidR="00ED435B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о расчету регулируемых тарифов</w:t>
      </w:r>
      <w:r w:rsidR="00124A43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 xml:space="preserve"> в сфере водоснабжения и водоотведения»</w:t>
      </w:r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.</w:t>
      </w:r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8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Постановление Правительства РФ от 07.03.2017 N 269 «Об утверждении перечня случаев, при которых для строительства, реконструкции лине</w:t>
        </w:r>
        <w:r w:rsidR="00124A43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йного объекта не требуется подготовка документации по планировке территории»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19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Постановление Правительства РФ от 29 июля 2013 года № 645 «Об утверждении типовых договоров в области холодного водоснабжения и 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ВО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0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Постановление Правительства РФ от 13 февраля 2006 года № 83 «Об утверждении Правил определения и предоставления 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техусловий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подключени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я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1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Постановление Правительства РФ от 29 июля 2013 года № 644 «Об утверждении правил холодного водоснабжения и водоотведения.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2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Постановление Правительства РФ от 29 июля 2013 года № 643 «Об утверждении типовых договоров в области горячего водоснабжения.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3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Постановление Правительства РФ от 29 июля 2013 года № 641 «Об инвестиционных и 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производственных программах организаци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й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,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осущ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ествляющих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деят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ельность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в сфере ВС.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4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Постановление Правительства РФ от 13 мая 2013 года № 406 «О государственном регулировании тарифов в сфере водоснабжения и водоотведен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ия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5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Постановление Правительства 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Свердл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области от 30 июля 2014 года № 650-ПП «Об утверждении Порядка взаимодействия по утв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ерждению инвестиционных 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прогр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амм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9C04BC" w:rsidRPr="00BB3C0E" w:rsidRDefault="009C04BC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</w:p>
    <w:p w:rsidR="009C04BC" w:rsidRPr="00BB3C0E" w:rsidRDefault="009C04BC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</w:p>
    <w:p w:rsidR="009C04BC" w:rsidRPr="00BB3C0E" w:rsidRDefault="009C04BC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</w:p>
    <w:p w:rsidR="003135AF" w:rsidRPr="00BB3C0E" w:rsidRDefault="003135AF" w:rsidP="00ED435B">
      <w:pPr>
        <w:shd w:val="clear" w:color="auto" w:fill="FFFFFF"/>
        <w:spacing w:after="0" w:line="375" w:lineRule="atLeast"/>
        <w:jc w:val="center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  <w:r w:rsidRPr="00BB3C0E">
        <w:rPr>
          <w:rFonts w:ascii="ptserif" w:eastAsia="Times New Roman" w:hAnsi="ptserif" w:cs="Times New Roman"/>
          <w:b/>
          <w:bCs/>
          <w:sz w:val="28"/>
          <w:szCs w:val="28"/>
          <w:lang w:eastAsia="ru-RU"/>
        </w:rPr>
        <w:t>Подключение объекта к системе коммунального теплоснабжения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3"/>
          <w:szCs w:val="23"/>
          <w:lang w:eastAsia="ru-RU"/>
        </w:rPr>
        <w:t>Порядок выполнения технологических, технических и других мероприятий, связанных с подключением к системе теплоснабжения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Порядок выполнения технологических, технических и других мероприятий, связанных с подключением к системе теплоснабжения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В соответствии с Постановлением Правительства РФ от 13.02.2006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обеспечения": </w:t>
      </w:r>
      <w:proofErr w:type="gramStart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Организация, осуществляющая эксплуатацию сетей инженерно-технического обеспечения, обязана в течение 14 рабочих дней с даты получения запроса определить и предоставить технические условия на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 xml:space="preserve">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6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Перечень документов, предоставляемых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с заявкой о подключении (Тепло, 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ГВС).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7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Образец заполнения Заявления на присоединение 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ОТ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и ГВС физ. лицо (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станд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.)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8" w:history="1"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Типовой_договор_о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подключении_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(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т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ехнологическом_присоединении</w:t>
        </w:r>
        <w:proofErr w:type="spellEnd"/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) </w:t>
        </w:r>
        <w:r w:rsidR="004C3C46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к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системе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lang w:eastAsia="ru-RU"/>
          </w:rPr>
          <w:t>_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теплоснабжения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29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Заявление на присоединение 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от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юр. лицо (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станд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.).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0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Заявление на присоединение 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от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физ. </w:t>
        </w:r>
        <w:r w:rsidR="009C04BC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лицо (</w:t>
        </w:r>
        <w:proofErr w:type="spell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станд</w:t>
        </w:r>
        <w:proofErr w:type="spell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.).</w:t>
        </w:r>
      </w:hyperlink>
    </w:p>
    <w:p w:rsidR="003135AF" w:rsidRPr="00BB3C0E" w:rsidRDefault="003135AF" w:rsidP="003135AF">
      <w:pPr>
        <w:shd w:val="clear" w:color="auto" w:fill="FFFFFF"/>
        <w:spacing w:after="0" w:line="375" w:lineRule="atLeast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 </w:t>
      </w:r>
    </w:p>
    <w:p w:rsidR="003135AF" w:rsidRPr="00BB3C0E" w:rsidRDefault="003135AF" w:rsidP="003135AF">
      <w:pPr>
        <w:shd w:val="clear" w:color="auto" w:fill="FFFFFF"/>
        <w:spacing w:after="0" w:line="375" w:lineRule="atLeast"/>
        <w:jc w:val="center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b/>
          <w:bCs/>
          <w:sz w:val="24"/>
          <w:szCs w:val="24"/>
          <w:lang w:eastAsia="ru-RU"/>
        </w:rPr>
        <w:t> Законодательство в области подключения (технологического присоединения) к системам теплоснабжения</w:t>
      </w:r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Федеральный закон от 27.07</w:t>
      </w:r>
      <w:r w:rsidR="00ED435B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.2010 N 190-ФЗ О теплоснабжении».</w:t>
      </w:r>
    </w:p>
    <w:p w:rsidR="003135AF" w:rsidRPr="00BB3C0E" w:rsidRDefault="00ED435B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lang w:eastAsia="ru-RU"/>
        </w:rPr>
        <w:t>«</w:t>
      </w:r>
      <w:r w:rsidR="003135AF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ПП РФ от 29.07.2013 № 642 «Об утверждении правил горячего водоснабжения</w:t>
      </w:r>
      <w:r w:rsidR="009C04BC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»</w:t>
      </w:r>
      <w:r w:rsidR="003135AF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.</w:t>
      </w:r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1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ПП РФ от 08.08.2012 № 808 «Об организации теплоснабжения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2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ПП РФ от 13.02.2006 № 83 «Об утверждении правил 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о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пределения технических условий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3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Постановление РЭК 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СО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от 10.04.2013 № 28-ПК «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Об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установлении платы за подключение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4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ПП РФ от 22.10.2012 № 1075 «О ценообразовании в сфере теплоснабжения».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5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ПП РФ от 17.04.2017 № 452 «Об исчерпывающем перечне процедур в сфере строительства сетей теплоснабжения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6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ПП РФ от 22.10.2012 № 307 «О порядке подключения к системам теплоснабжения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7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Постановление Правительства РФ от 22.10.2012 № 1075 «О ценообразовании в сфере теплоснабжения».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8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ПП РФ от 07.03.2017г. № 269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О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б утв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ер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ждении перечня случаев, при которых не требуется документация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9D283D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hyperlink r:id="rId39" w:history="1"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ПП РФ от 24.01.2017г. № 54</w:t>
        </w:r>
        <w:proofErr w:type="gramStart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О</w:t>
        </w:r>
        <w:proofErr w:type="gramEnd"/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 xml:space="preserve"> внесении изме</w:t>
        </w:r>
        <w:r w:rsidR="006E7A17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н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ений в некоторые акты Правительства РФ</w:t>
        </w:r>
        <w:r w:rsidR="00ED435B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»</w:t>
        </w:r>
        <w:r w:rsidR="003135AF" w:rsidRPr="00BB3C0E">
          <w:rPr>
            <w:rFonts w:ascii="ptserif" w:eastAsia="Times New Roman" w:hAnsi="ptserif" w:cs="Times New Roman"/>
            <w:sz w:val="23"/>
            <w:szCs w:val="23"/>
            <w:u w:val="single"/>
            <w:lang w:eastAsia="ru-RU"/>
          </w:rPr>
          <w:t>.</w:t>
        </w:r>
      </w:hyperlink>
    </w:p>
    <w:p w:rsidR="003135AF" w:rsidRPr="00BB3C0E" w:rsidRDefault="003135AF" w:rsidP="00ED435B">
      <w:pPr>
        <w:shd w:val="clear" w:color="auto" w:fill="FFFFFF"/>
        <w:spacing w:after="0" w:line="375" w:lineRule="atLeast"/>
        <w:jc w:val="both"/>
        <w:rPr>
          <w:rFonts w:ascii="ptserif" w:eastAsia="Times New Roman" w:hAnsi="ptserif" w:cs="Times New Roman"/>
          <w:sz w:val="23"/>
          <w:szCs w:val="23"/>
          <w:lang w:eastAsia="ru-RU"/>
        </w:rPr>
      </w:pPr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 xml:space="preserve">ФС по тарифам от 13.06.2013г. № 760-э </w:t>
      </w:r>
      <w:r w:rsidR="00ED435B"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«</w:t>
      </w:r>
      <w:r w:rsidRPr="00BB3C0E">
        <w:rPr>
          <w:rFonts w:ascii="ptserif" w:eastAsia="Times New Roman" w:hAnsi="ptserif" w:cs="Times New Roman"/>
          <w:sz w:val="23"/>
          <w:szCs w:val="23"/>
          <w:u w:val="single"/>
          <w:lang w:eastAsia="ru-RU"/>
        </w:rPr>
        <w:t>Об утверждении метод указаний по расчету цен в сфере ТС.</w:t>
      </w:r>
    </w:p>
    <w:p w:rsidR="00A50647" w:rsidRPr="00BB3C0E" w:rsidRDefault="00A50647" w:rsidP="00A50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0647" w:rsidRPr="00BB3C0E" w:rsidSect="00F733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71B"/>
    <w:multiLevelType w:val="multilevel"/>
    <w:tmpl w:val="690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30225"/>
    <w:multiLevelType w:val="multilevel"/>
    <w:tmpl w:val="FA4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C2E25"/>
    <w:multiLevelType w:val="multilevel"/>
    <w:tmpl w:val="212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D332A"/>
    <w:multiLevelType w:val="multilevel"/>
    <w:tmpl w:val="24E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83A7F"/>
    <w:multiLevelType w:val="multilevel"/>
    <w:tmpl w:val="229E7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A91A5D"/>
    <w:multiLevelType w:val="hybridMultilevel"/>
    <w:tmpl w:val="F40C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00BCD"/>
    <w:rsid w:val="00000BCD"/>
    <w:rsid w:val="000D723E"/>
    <w:rsid w:val="000F365A"/>
    <w:rsid w:val="0010260C"/>
    <w:rsid w:val="00124A43"/>
    <w:rsid w:val="00142394"/>
    <w:rsid w:val="00160311"/>
    <w:rsid w:val="002C211C"/>
    <w:rsid w:val="003135AF"/>
    <w:rsid w:val="003A0618"/>
    <w:rsid w:val="003C77BA"/>
    <w:rsid w:val="00442844"/>
    <w:rsid w:val="004A4656"/>
    <w:rsid w:val="004C3C46"/>
    <w:rsid w:val="0051441F"/>
    <w:rsid w:val="00583930"/>
    <w:rsid w:val="00647E68"/>
    <w:rsid w:val="006B2BDD"/>
    <w:rsid w:val="006E7A17"/>
    <w:rsid w:val="00721F54"/>
    <w:rsid w:val="00753EA8"/>
    <w:rsid w:val="007D7252"/>
    <w:rsid w:val="007F15CF"/>
    <w:rsid w:val="007F1851"/>
    <w:rsid w:val="008046A9"/>
    <w:rsid w:val="00832353"/>
    <w:rsid w:val="00985A7B"/>
    <w:rsid w:val="009966F7"/>
    <w:rsid w:val="009C04BC"/>
    <w:rsid w:val="009D283D"/>
    <w:rsid w:val="009F7FE1"/>
    <w:rsid w:val="00A50647"/>
    <w:rsid w:val="00AE5345"/>
    <w:rsid w:val="00B05276"/>
    <w:rsid w:val="00BB3C0E"/>
    <w:rsid w:val="00C37BAF"/>
    <w:rsid w:val="00CB1948"/>
    <w:rsid w:val="00D7404E"/>
    <w:rsid w:val="00ED435B"/>
    <w:rsid w:val="00F0670D"/>
    <w:rsid w:val="00F733E2"/>
    <w:rsid w:val="00F74544"/>
    <w:rsid w:val="00F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6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1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sp.ru/file/download/2756" TargetMode="External"/><Relationship Id="rId13" Type="http://schemas.openxmlformats.org/officeDocument/2006/relationships/hyperlink" Target="http://admtsp.ru/file/download/2761" TargetMode="External"/><Relationship Id="rId18" Type="http://schemas.openxmlformats.org/officeDocument/2006/relationships/hyperlink" Target="http://admtsp.ru/file/download/2765" TargetMode="External"/><Relationship Id="rId26" Type="http://schemas.openxmlformats.org/officeDocument/2006/relationships/hyperlink" Target="http://admtsp.ru/file/download/2782" TargetMode="External"/><Relationship Id="rId39" Type="http://schemas.openxmlformats.org/officeDocument/2006/relationships/hyperlink" Target="http://admtsp.ru/file/download/27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tsp.ru/file/download/2770" TargetMode="External"/><Relationship Id="rId34" Type="http://schemas.openxmlformats.org/officeDocument/2006/relationships/hyperlink" Target="http://admtsp.ru/file/download/2791" TargetMode="External"/><Relationship Id="rId7" Type="http://schemas.openxmlformats.org/officeDocument/2006/relationships/hyperlink" Target="http://admtsp.ru/file/download/2755" TargetMode="External"/><Relationship Id="rId12" Type="http://schemas.openxmlformats.org/officeDocument/2006/relationships/hyperlink" Target="http://admtsp.ru/file/download/2759" TargetMode="External"/><Relationship Id="rId17" Type="http://schemas.openxmlformats.org/officeDocument/2006/relationships/hyperlink" Target="http://admtsp.ru/file/download/2774" TargetMode="External"/><Relationship Id="rId25" Type="http://schemas.openxmlformats.org/officeDocument/2006/relationships/hyperlink" Target="http://admtsp.ru/file/download/2772" TargetMode="External"/><Relationship Id="rId33" Type="http://schemas.openxmlformats.org/officeDocument/2006/relationships/hyperlink" Target="http://admtsp.ru/file/download/2785" TargetMode="External"/><Relationship Id="rId38" Type="http://schemas.openxmlformats.org/officeDocument/2006/relationships/hyperlink" Target="http://admtsp.ru/file/download/2786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tsp.ru/file/download/2776" TargetMode="External"/><Relationship Id="rId20" Type="http://schemas.openxmlformats.org/officeDocument/2006/relationships/hyperlink" Target="http://admtsp.ru/file/download/2767" TargetMode="External"/><Relationship Id="rId29" Type="http://schemas.openxmlformats.org/officeDocument/2006/relationships/hyperlink" Target="http://admtsp.ru/file/download/277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tsp.ru/file/download/2754" TargetMode="External"/><Relationship Id="rId11" Type="http://schemas.openxmlformats.org/officeDocument/2006/relationships/hyperlink" Target="http://admtsp.ru/file/download/2760" TargetMode="External"/><Relationship Id="rId24" Type="http://schemas.openxmlformats.org/officeDocument/2006/relationships/hyperlink" Target="http://admtsp.ru/file/download/2766" TargetMode="External"/><Relationship Id="rId32" Type="http://schemas.openxmlformats.org/officeDocument/2006/relationships/hyperlink" Target="http://admtsp.ru/file/download/2788" TargetMode="External"/><Relationship Id="rId37" Type="http://schemas.openxmlformats.org/officeDocument/2006/relationships/hyperlink" Target="http://admtsp.ru/file/download/278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dmtsp.ru/file/download/2753" TargetMode="External"/><Relationship Id="rId15" Type="http://schemas.openxmlformats.org/officeDocument/2006/relationships/hyperlink" Target="http://admtsp.ru/file/download/2763" TargetMode="External"/><Relationship Id="rId23" Type="http://schemas.openxmlformats.org/officeDocument/2006/relationships/hyperlink" Target="http://admtsp.ru/file/download/2768" TargetMode="External"/><Relationship Id="rId28" Type="http://schemas.openxmlformats.org/officeDocument/2006/relationships/hyperlink" Target="http://admtsp.ru/file/download/2781" TargetMode="External"/><Relationship Id="rId36" Type="http://schemas.openxmlformats.org/officeDocument/2006/relationships/hyperlink" Target="http://admtsp.ru/file/download/2790" TargetMode="External"/><Relationship Id="rId10" Type="http://schemas.openxmlformats.org/officeDocument/2006/relationships/hyperlink" Target="http://admtsp.ru/file/download/2758" TargetMode="External"/><Relationship Id="rId19" Type="http://schemas.openxmlformats.org/officeDocument/2006/relationships/hyperlink" Target="http://admtsp.ru/file/download/2771" TargetMode="External"/><Relationship Id="rId31" Type="http://schemas.openxmlformats.org/officeDocument/2006/relationships/hyperlink" Target="http://admtsp.ru/file/download/2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tsp.ru/file/download/2757" TargetMode="External"/><Relationship Id="rId14" Type="http://schemas.openxmlformats.org/officeDocument/2006/relationships/hyperlink" Target="http://admtsp.ru/file/download/2762" TargetMode="External"/><Relationship Id="rId22" Type="http://schemas.openxmlformats.org/officeDocument/2006/relationships/hyperlink" Target="http://admtsp.ru/file/download/2769" TargetMode="External"/><Relationship Id="rId27" Type="http://schemas.openxmlformats.org/officeDocument/2006/relationships/hyperlink" Target="http://admtsp.ru/file/download/2779" TargetMode="External"/><Relationship Id="rId30" Type="http://schemas.openxmlformats.org/officeDocument/2006/relationships/hyperlink" Target="http://admtsp.ru/file/download/2777" TargetMode="External"/><Relationship Id="rId35" Type="http://schemas.openxmlformats.org/officeDocument/2006/relationships/hyperlink" Target="http://admtsp.ru/file/download/2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1</cp:lastModifiedBy>
  <cp:revision>27</cp:revision>
  <cp:lastPrinted>2018-12-13T03:54:00Z</cp:lastPrinted>
  <dcterms:created xsi:type="dcterms:W3CDTF">2018-01-19T04:49:00Z</dcterms:created>
  <dcterms:modified xsi:type="dcterms:W3CDTF">2018-12-13T06:52:00Z</dcterms:modified>
</cp:coreProperties>
</file>